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1973" w14:textId="5D917008" w:rsidR="00545629" w:rsidRDefault="004B463A">
      <w:pPr>
        <w:ind w:left="6560"/>
        <w:rPr>
          <w:sz w:val="20"/>
          <w:szCs w:val="20"/>
        </w:rPr>
      </w:pPr>
      <w:r>
        <w:rPr>
          <w:rFonts w:ascii="Arial" w:eastAsia="Arial" w:hAnsi="Arial" w:cs="Arial"/>
          <w:sz w:val="23"/>
          <w:szCs w:val="23"/>
        </w:rPr>
        <w:t>Effective Date: dd</w:t>
      </w:r>
      <w:r>
        <w:rPr>
          <w:rFonts w:ascii="Arial" w:eastAsia="Arial" w:hAnsi="Arial" w:cs="Arial"/>
          <w:sz w:val="23"/>
          <w:szCs w:val="23"/>
        </w:rPr>
        <w:t xml:space="preserve"> mmm</w:t>
      </w:r>
      <w:r>
        <w:rPr>
          <w:rFonts w:ascii="Arial" w:eastAsia="Arial" w:hAnsi="Arial" w:cs="Arial"/>
          <w:sz w:val="23"/>
          <w:szCs w:val="23"/>
        </w:rPr>
        <w:t xml:space="preserve"> </w:t>
      </w:r>
      <w:proofErr w:type="spellStart"/>
      <w:r>
        <w:rPr>
          <w:rFonts w:ascii="Arial" w:eastAsia="Arial" w:hAnsi="Arial" w:cs="Arial"/>
          <w:sz w:val="23"/>
          <w:szCs w:val="23"/>
        </w:rPr>
        <w:t>yyyy</w:t>
      </w:r>
      <w:proofErr w:type="spellEnd"/>
    </w:p>
    <w:p w14:paraId="60FFF125" w14:textId="77777777" w:rsidR="00545629" w:rsidRDefault="00545629">
      <w:pPr>
        <w:spacing w:line="200" w:lineRule="exact"/>
        <w:rPr>
          <w:sz w:val="24"/>
          <w:szCs w:val="24"/>
        </w:rPr>
      </w:pPr>
    </w:p>
    <w:p w14:paraId="0681AD77" w14:textId="77777777" w:rsidR="00545629" w:rsidRDefault="004B463A">
      <w:pPr>
        <w:jc w:val="center"/>
        <w:rPr>
          <w:sz w:val="20"/>
          <w:szCs w:val="20"/>
        </w:rPr>
      </w:pPr>
      <w:r>
        <w:rPr>
          <w:rFonts w:ascii="Calibri" w:eastAsia="Calibri" w:hAnsi="Calibri" w:cs="Calibri"/>
          <w:b/>
          <w:bCs/>
          <w:color w:val="365F91"/>
          <w:sz w:val="32"/>
          <w:szCs w:val="32"/>
        </w:rPr>
        <w:t>BOARD OF DIRECTORS</w:t>
      </w:r>
    </w:p>
    <w:p w14:paraId="37E8641B" w14:textId="77777777" w:rsidR="00545629" w:rsidRDefault="00545629">
      <w:pPr>
        <w:spacing w:line="392" w:lineRule="exact"/>
        <w:rPr>
          <w:sz w:val="24"/>
          <w:szCs w:val="24"/>
        </w:rPr>
      </w:pPr>
      <w:bookmarkStart w:id="0" w:name="_GoBack"/>
      <w:bookmarkEnd w:id="0"/>
    </w:p>
    <w:p w14:paraId="69552A49" w14:textId="77777777" w:rsidR="00545629" w:rsidRDefault="004B463A">
      <w:pPr>
        <w:jc w:val="center"/>
        <w:rPr>
          <w:sz w:val="20"/>
          <w:szCs w:val="20"/>
        </w:rPr>
      </w:pPr>
      <w:r>
        <w:rPr>
          <w:rFonts w:ascii="Calibri" w:eastAsia="Calibri" w:hAnsi="Calibri" w:cs="Calibri"/>
          <w:b/>
          <w:bCs/>
          <w:color w:val="365F91"/>
          <w:sz w:val="32"/>
          <w:szCs w:val="32"/>
        </w:rPr>
        <w:t>TERMS OF REFERENCE</w:t>
      </w:r>
    </w:p>
    <w:p w14:paraId="0344217E" w14:textId="77777777" w:rsidR="00545629" w:rsidRDefault="00545629">
      <w:pPr>
        <w:spacing w:line="200" w:lineRule="exact"/>
        <w:rPr>
          <w:sz w:val="24"/>
          <w:szCs w:val="24"/>
        </w:rPr>
      </w:pPr>
    </w:p>
    <w:p w14:paraId="67C5929F" w14:textId="77777777" w:rsidR="00545629" w:rsidRDefault="00545629">
      <w:pPr>
        <w:spacing w:line="394" w:lineRule="exact"/>
        <w:rPr>
          <w:sz w:val="24"/>
          <w:szCs w:val="24"/>
        </w:rPr>
      </w:pPr>
    </w:p>
    <w:p w14:paraId="2196D248" w14:textId="77777777" w:rsidR="00545629" w:rsidRDefault="004B463A">
      <w:pPr>
        <w:tabs>
          <w:tab w:val="left" w:pos="700"/>
        </w:tabs>
        <w:rPr>
          <w:sz w:val="20"/>
          <w:szCs w:val="20"/>
        </w:rPr>
      </w:pPr>
      <w:r>
        <w:rPr>
          <w:rFonts w:ascii="Arial" w:eastAsia="Arial" w:hAnsi="Arial" w:cs="Arial"/>
          <w:b/>
          <w:bCs/>
          <w:sz w:val="24"/>
          <w:szCs w:val="24"/>
        </w:rPr>
        <w:t>1</w:t>
      </w:r>
      <w:r>
        <w:rPr>
          <w:sz w:val="20"/>
          <w:szCs w:val="20"/>
        </w:rPr>
        <w:tab/>
      </w:r>
      <w:r>
        <w:rPr>
          <w:rFonts w:ascii="Arial" w:eastAsia="Arial" w:hAnsi="Arial" w:cs="Arial"/>
          <w:b/>
          <w:bCs/>
          <w:sz w:val="24"/>
          <w:szCs w:val="24"/>
        </w:rPr>
        <w:t>Overall role</w:t>
      </w:r>
    </w:p>
    <w:p w14:paraId="320DC995" w14:textId="77777777" w:rsidR="00545629" w:rsidRDefault="00545629">
      <w:pPr>
        <w:spacing w:line="275" w:lineRule="exact"/>
        <w:rPr>
          <w:sz w:val="24"/>
          <w:szCs w:val="24"/>
        </w:rPr>
      </w:pPr>
    </w:p>
    <w:p w14:paraId="55FB2029" w14:textId="77777777" w:rsidR="00545629" w:rsidRDefault="004B463A">
      <w:pPr>
        <w:numPr>
          <w:ilvl w:val="0"/>
          <w:numId w:val="1"/>
        </w:numPr>
        <w:tabs>
          <w:tab w:val="left" w:pos="360"/>
        </w:tabs>
        <w:ind w:left="360" w:hanging="360"/>
        <w:rPr>
          <w:rFonts w:ascii="Symbol" w:eastAsia="Symbol" w:hAnsi="Symbol" w:cs="Symbol"/>
          <w:sz w:val="24"/>
          <w:szCs w:val="24"/>
        </w:rPr>
      </w:pPr>
      <w:r>
        <w:rPr>
          <w:rFonts w:ascii="Arial" w:eastAsia="Arial" w:hAnsi="Arial" w:cs="Arial"/>
          <w:sz w:val="24"/>
          <w:szCs w:val="24"/>
        </w:rPr>
        <w:t>Lead IDPC towards achieving its vision and mission, through multi-year Strategic Plans.</w:t>
      </w:r>
    </w:p>
    <w:p w14:paraId="1E0DA63B" w14:textId="77777777" w:rsidR="00545629" w:rsidRDefault="00545629">
      <w:pPr>
        <w:spacing w:line="272" w:lineRule="exact"/>
        <w:rPr>
          <w:rFonts w:ascii="Symbol" w:eastAsia="Symbol" w:hAnsi="Symbol" w:cs="Symbol"/>
          <w:sz w:val="24"/>
          <w:szCs w:val="24"/>
        </w:rPr>
      </w:pPr>
    </w:p>
    <w:p w14:paraId="0CAED70A" w14:textId="77777777" w:rsidR="00545629" w:rsidRDefault="004B463A">
      <w:pPr>
        <w:numPr>
          <w:ilvl w:val="0"/>
          <w:numId w:val="1"/>
        </w:numPr>
        <w:tabs>
          <w:tab w:val="left" w:pos="360"/>
        </w:tabs>
        <w:ind w:left="360" w:hanging="360"/>
        <w:rPr>
          <w:rFonts w:ascii="Symbol" w:eastAsia="Symbol" w:hAnsi="Symbol" w:cs="Symbol"/>
          <w:sz w:val="24"/>
          <w:szCs w:val="24"/>
        </w:rPr>
      </w:pPr>
      <w:r>
        <w:rPr>
          <w:rFonts w:ascii="Arial" w:eastAsia="Arial" w:hAnsi="Arial" w:cs="Arial"/>
          <w:sz w:val="24"/>
          <w:szCs w:val="24"/>
        </w:rPr>
        <w:t xml:space="preserve">Ensure that IDPC is properly governed and operates </w:t>
      </w:r>
      <w:r>
        <w:rPr>
          <w:rFonts w:ascii="Arial" w:eastAsia="Arial" w:hAnsi="Arial" w:cs="Arial"/>
          <w:sz w:val="24"/>
          <w:szCs w:val="24"/>
        </w:rPr>
        <w:t>effectively.</w:t>
      </w:r>
    </w:p>
    <w:p w14:paraId="2A7C578D" w14:textId="77777777" w:rsidR="00545629" w:rsidRDefault="00545629">
      <w:pPr>
        <w:spacing w:line="274" w:lineRule="exact"/>
        <w:rPr>
          <w:rFonts w:ascii="Symbol" w:eastAsia="Symbol" w:hAnsi="Symbol" w:cs="Symbol"/>
          <w:sz w:val="24"/>
          <w:szCs w:val="24"/>
        </w:rPr>
      </w:pPr>
    </w:p>
    <w:p w14:paraId="7F37898C" w14:textId="77777777" w:rsidR="00545629" w:rsidRDefault="004B463A">
      <w:pPr>
        <w:numPr>
          <w:ilvl w:val="0"/>
          <w:numId w:val="1"/>
        </w:numPr>
        <w:tabs>
          <w:tab w:val="left" w:pos="360"/>
        </w:tabs>
        <w:ind w:left="360" w:hanging="360"/>
        <w:rPr>
          <w:rFonts w:ascii="Symbol" w:eastAsia="Symbol" w:hAnsi="Symbol" w:cs="Symbol"/>
          <w:sz w:val="24"/>
          <w:szCs w:val="24"/>
        </w:rPr>
      </w:pPr>
      <w:r>
        <w:rPr>
          <w:rFonts w:ascii="Arial" w:eastAsia="Arial" w:hAnsi="Arial" w:cs="Arial"/>
          <w:sz w:val="24"/>
          <w:szCs w:val="24"/>
        </w:rPr>
        <w:t>Safeguard IDPC’s assets and resources.</w:t>
      </w:r>
    </w:p>
    <w:p w14:paraId="10A4AB16" w14:textId="77777777" w:rsidR="00545629" w:rsidRDefault="00545629">
      <w:pPr>
        <w:spacing w:line="200" w:lineRule="exact"/>
        <w:rPr>
          <w:sz w:val="24"/>
          <w:szCs w:val="24"/>
        </w:rPr>
      </w:pPr>
    </w:p>
    <w:p w14:paraId="18441BC6" w14:textId="77777777" w:rsidR="00545629" w:rsidRDefault="00545629">
      <w:pPr>
        <w:spacing w:line="352" w:lineRule="exact"/>
        <w:rPr>
          <w:sz w:val="24"/>
          <w:szCs w:val="24"/>
        </w:rPr>
      </w:pPr>
    </w:p>
    <w:p w14:paraId="07EA37ED" w14:textId="77777777" w:rsidR="00545629" w:rsidRDefault="004B463A">
      <w:pPr>
        <w:tabs>
          <w:tab w:val="left" w:pos="700"/>
        </w:tabs>
        <w:rPr>
          <w:sz w:val="20"/>
          <w:szCs w:val="20"/>
        </w:rPr>
      </w:pPr>
      <w:r>
        <w:rPr>
          <w:rFonts w:ascii="Arial" w:eastAsia="Arial" w:hAnsi="Arial" w:cs="Arial"/>
          <w:b/>
          <w:bCs/>
          <w:sz w:val="24"/>
          <w:szCs w:val="24"/>
        </w:rPr>
        <w:t>2</w:t>
      </w:r>
      <w:r>
        <w:rPr>
          <w:sz w:val="20"/>
          <w:szCs w:val="20"/>
        </w:rPr>
        <w:tab/>
      </w:r>
      <w:r>
        <w:rPr>
          <w:rFonts w:ascii="Arial" w:eastAsia="Arial" w:hAnsi="Arial" w:cs="Arial"/>
          <w:b/>
          <w:bCs/>
          <w:sz w:val="24"/>
          <w:szCs w:val="24"/>
        </w:rPr>
        <w:t>Specific responsibilities</w:t>
      </w:r>
    </w:p>
    <w:p w14:paraId="3F702D07" w14:textId="77777777" w:rsidR="00545629" w:rsidRDefault="00545629">
      <w:pPr>
        <w:spacing w:line="274" w:lineRule="exact"/>
        <w:rPr>
          <w:sz w:val="24"/>
          <w:szCs w:val="24"/>
        </w:rPr>
      </w:pPr>
    </w:p>
    <w:p w14:paraId="4D7C4CA5" w14:textId="77777777" w:rsidR="00545629" w:rsidRDefault="004B463A">
      <w:pPr>
        <w:rPr>
          <w:sz w:val="20"/>
          <w:szCs w:val="20"/>
        </w:rPr>
      </w:pPr>
      <w:r>
        <w:rPr>
          <w:rFonts w:ascii="Arial" w:eastAsia="Arial" w:hAnsi="Arial" w:cs="Arial"/>
          <w:i/>
          <w:iCs/>
          <w:sz w:val="24"/>
          <w:szCs w:val="24"/>
        </w:rPr>
        <w:t>Leadership, strategy and planning</w:t>
      </w:r>
    </w:p>
    <w:p w14:paraId="34952D62" w14:textId="77777777" w:rsidR="00545629" w:rsidRDefault="00545629">
      <w:pPr>
        <w:spacing w:line="278" w:lineRule="exact"/>
        <w:rPr>
          <w:sz w:val="24"/>
          <w:szCs w:val="24"/>
        </w:rPr>
      </w:pPr>
    </w:p>
    <w:p w14:paraId="59FAE177" w14:textId="77777777" w:rsidR="00545629" w:rsidRDefault="004B463A">
      <w:pPr>
        <w:tabs>
          <w:tab w:val="left" w:pos="700"/>
        </w:tabs>
        <w:rPr>
          <w:sz w:val="20"/>
          <w:szCs w:val="20"/>
        </w:rPr>
      </w:pPr>
      <w:r>
        <w:rPr>
          <w:rFonts w:ascii="Arial" w:eastAsia="Arial" w:hAnsi="Arial" w:cs="Arial"/>
          <w:sz w:val="24"/>
          <w:szCs w:val="24"/>
        </w:rPr>
        <w:t>2.1</w:t>
      </w:r>
      <w:r>
        <w:rPr>
          <w:sz w:val="20"/>
          <w:szCs w:val="20"/>
        </w:rPr>
        <w:tab/>
      </w:r>
      <w:r>
        <w:rPr>
          <w:rFonts w:ascii="Arial" w:eastAsia="Arial" w:hAnsi="Arial" w:cs="Arial"/>
          <w:sz w:val="24"/>
          <w:szCs w:val="24"/>
        </w:rPr>
        <w:t>Approve and regularly review IDPC’s Strategic Plans.</w:t>
      </w:r>
    </w:p>
    <w:p w14:paraId="08A87C68" w14:textId="77777777" w:rsidR="00545629" w:rsidRDefault="00545629">
      <w:pPr>
        <w:spacing w:line="276" w:lineRule="exact"/>
        <w:rPr>
          <w:sz w:val="24"/>
          <w:szCs w:val="24"/>
        </w:rPr>
      </w:pPr>
    </w:p>
    <w:p w14:paraId="42B96405" w14:textId="77777777" w:rsidR="00545629" w:rsidRDefault="004B463A">
      <w:pPr>
        <w:tabs>
          <w:tab w:val="left" w:pos="680"/>
        </w:tabs>
        <w:rPr>
          <w:sz w:val="20"/>
          <w:szCs w:val="20"/>
        </w:rPr>
      </w:pPr>
      <w:r>
        <w:rPr>
          <w:rFonts w:ascii="Arial" w:eastAsia="Arial" w:hAnsi="Arial" w:cs="Arial"/>
          <w:sz w:val="24"/>
          <w:szCs w:val="24"/>
        </w:rPr>
        <w:t>2.2</w:t>
      </w:r>
      <w:r>
        <w:rPr>
          <w:sz w:val="20"/>
          <w:szCs w:val="20"/>
        </w:rPr>
        <w:tab/>
      </w:r>
      <w:r>
        <w:rPr>
          <w:rFonts w:ascii="Arial" w:eastAsia="Arial" w:hAnsi="Arial" w:cs="Arial"/>
          <w:sz w:val="24"/>
          <w:szCs w:val="24"/>
        </w:rPr>
        <w:t>Review and approve IDPC’s annual budgets.</w:t>
      </w:r>
    </w:p>
    <w:p w14:paraId="5D3EDD2B" w14:textId="77777777" w:rsidR="00545629" w:rsidRDefault="00545629">
      <w:pPr>
        <w:spacing w:line="287" w:lineRule="exact"/>
        <w:rPr>
          <w:sz w:val="24"/>
          <w:szCs w:val="24"/>
        </w:rPr>
      </w:pPr>
    </w:p>
    <w:p w14:paraId="4FB7B427" w14:textId="77777777" w:rsidR="00545629" w:rsidRDefault="004B463A">
      <w:pPr>
        <w:tabs>
          <w:tab w:val="left" w:pos="700"/>
        </w:tabs>
        <w:spacing w:line="235" w:lineRule="auto"/>
        <w:ind w:left="720" w:hanging="719"/>
        <w:jc w:val="both"/>
        <w:rPr>
          <w:sz w:val="20"/>
          <w:szCs w:val="20"/>
        </w:rPr>
      </w:pPr>
      <w:r>
        <w:rPr>
          <w:rFonts w:ascii="Arial" w:eastAsia="Arial" w:hAnsi="Arial" w:cs="Arial"/>
          <w:sz w:val="24"/>
          <w:szCs w:val="24"/>
        </w:rPr>
        <w:t>2.3</w:t>
      </w:r>
      <w:r>
        <w:rPr>
          <w:sz w:val="20"/>
          <w:szCs w:val="20"/>
        </w:rPr>
        <w:tab/>
      </w:r>
      <w:r>
        <w:rPr>
          <w:rFonts w:ascii="Arial" w:eastAsia="Arial" w:hAnsi="Arial" w:cs="Arial"/>
          <w:sz w:val="24"/>
          <w:szCs w:val="24"/>
        </w:rPr>
        <w:t xml:space="preserve">Ensure that the </w:t>
      </w:r>
      <w:r>
        <w:rPr>
          <w:rFonts w:ascii="Arial" w:eastAsia="Arial" w:hAnsi="Arial" w:cs="Arial"/>
          <w:sz w:val="24"/>
          <w:szCs w:val="24"/>
        </w:rPr>
        <w:t>appropriate human, financial and other resources are in place to support IDPC in meeting its plans.</w:t>
      </w:r>
    </w:p>
    <w:p w14:paraId="55872DD5" w14:textId="77777777" w:rsidR="00545629" w:rsidRDefault="00545629">
      <w:pPr>
        <w:spacing w:line="277" w:lineRule="exact"/>
        <w:rPr>
          <w:sz w:val="24"/>
          <w:szCs w:val="24"/>
        </w:rPr>
      </w:pPr>
    </w:p>
    <w:p w14:paraId="3DF63346" w14:textId="77777777" w:rsidR="00545629" w:rsidRDefault="004B463A">
      <w:pPr>
        <w:tabs>
          <w:tab w:val="left" w:pos="700"/>
        </w:tabs>
        <w:rPr>
          <w:sz w:val="20"/>
          <w:szCs w:val="20"/>
        </w:rPr>
      </w:pPr>
      <w:r>
        <w:rPr>
          <w:rFonts w:ascii="Arial" w:eastAsia="Arial" w:hAnsi="Arial" w:cs="Arial"/>
          <w:sz w:val="24"/>
          <w:szCs w:val="24"/>
        </w:rPr>
        <w:t>2.4</w:t>
      </w:r>
      <w:r>
        <w:rPr>
          <w:sz w:val="20"/>
          <w:szCs w:val="20"/>
        </w:rPr>
        <w:tab/>
      </w:r>
      <w:r>
        <w:rPr>
          <w:rFonts w:ascii="Arial" w:eastAsia="Arial" w:hAnsi="Arial" w:cs="Arial"/>
          <w:sz w:val="24"/>
          <w:szCs w:val="24"/>
        </w:rPr>
        <w:t>Support the work of the IDPC Secretariat towards achieving its vision and mission.</w:t>
      </w:r>
    </w:p>
    <w:p w14:paraId="2919D7AD" w14:textId="77777777" w:rsidR="00545629" w:rsidRDefault="00545629">
      <w:pPr>
        <w:spacing w:line="276" w:lineRule="exact"/>
        <w:rPr>
          <w:sz w:val="24"/>
          <w:szCs w:val="24"/>
        </w:rPr>
      </w:pPr>
    </w:p>
    <w:p w14:paraId="5F73DA1E" w14:textId="77777777" w:rsidR="00545629" w:rsidRDefault="004B463A">
      <w:pPr>
        <w:tabs>
          <w:tab w:val="left" w:pos="700"/>
        </w:tabs>
        <w:rPr>
          <w:sz w:val="20"/>
          <w:szCs w:val="20"/>
        </w:rPr>
      </w:pPr>
      <w:r>
        <w:rPr>
          <w:rFonts w:ascii="Arial" w:eastAsia="Arial" w:hAnsi="Arial" w:cs="Arial"/>
          <w:sz w:val="24"/>
          <w:szCs w:val="24"/>
        </w:rPr>
        <w:t>2.5</w:t>
      </w:r>
      <w:r>
        <w:rPr>
          <w:sz w:val="20"/>
          <w:szCs w:val="20"/>
        </w:rPr>
        <w:tab/>
      </w:r>
      <w:r>
        <w:rPr>
          <w:rFonts w:ascii="Arial" w:eastAsia="Arial" w:hAnsi="Arial" w:cs="Arial"/>
          <w:sz w:val="24"/>
          <w:szCs w:val="24"/>
        </w:rPr>
        <w:t>Acting in the best interests of the IDPC membership.</w:t>
      </w:r>
    </w:p>
    <w:p w14:paraId="7A839BAB" w14:textId="77777777" w:rsidR="00545629" w:rsidRDefault="00545629">
      <w:pPr>
        <w:spacing w:line="275" w:lineRule="exact"/>
        <w:rPr>
          <w:sz w:val="24"/>
          <w:szCs w:val="24"/>
        </w:rPr>
      </w:pPr>
    </w:p>
    <w:p w14:paraId="25F7E91B" w14:textId="77777777" w:rsidR="00545629" w:rsidRDefault="004B463A">
      <w:pPr>
        <w:rPr>
          <w:sz w:val="20"/>
          <w:szCs w:val="20"/>
        </w:rPr>
      </w:pPr>
      <w:r>
        <w:rPr>
          <w:rFonts w:ascii="Arial" w:eastAsia="Arial" w:hAnsi="Arial" w:cs="Arial"/>
          <w:i/>
          <w:iCs/>
          <w:sz w:val="24"/>
          <w:szCs w:val="24"/>
        </w:rPr>
        <w:t>Governanc</w:t>
      </w:r>
      <w:r>
        <w:rPr>
          <w:rFonts w:ascii="Arial" w:eastAsia="Arial" w:hAnsi="Arial" w:cs="Arial"/>
          <w:i/>
          <w:iCs/>
          <w:sz w:val="24"/>
          <w:szCs w:val="24"/>
        </w:rPr>
        <w:t>e and safeguarding</w:t>
      </w:r>
    </w:p>
    <w:p w14:paraId="32B67F8F" w14:textId="77777777" w:rsidR="00545629" w:rsidRDefault="00545629">
      <w:pPr>
        <w:spacing w:line="289" w:lineRule="exact"/>
        <w:rPr>
          <w:sz w:val="24"/>
          <w:szCs w:val="24"/>
        </w:rPr>
      </w:pPr>
    </w:p>
    <w:p w14:paraId="1E48671E" w14:textId="77777777" w:rsidR="00545629" w:rsidRDefault="004B463A">
      <w:pPr>
        <w:tabs>
          <w:tab w:val="left" w:pos="700"/>
        </w:tabs>
        <w:spacing w:line="235" w:lineRule="auto"/>
        <w:ind w:left="720" w:hanging="719"/>
        <w:jc w:val="both"/>
        <w:rPr>
          <w:sz w:val="20"/>
          <w:szCs w:val="20"/>
        </w:rPr>
      </w:pPr>
      <w:r>
        <w:rPr>
          <w:rFonts w:ascii="Arial" w:eastAsia="Arial" w:hAnsi="Arial" w:cs="Arial"/>
          <w:sz w:val="24"/>
          <w:szCs w:val="24"/>
        </w:rPr>
        <w:t>2.6</w:t>
      </w:r>
      <w:r>
        <w:rPr>
          <w:sz w:val="20"/>
          <w:szCs w:val="20"/>
        </w:rPr>
        <w:tab/>
      </w:r>
      <w:r>
        <w:rPr>
          <w:rFonts w:ascii="Arial" w:eastAsia="Arial" w:hAnsi="Arial" w:cs="Arial"/>
          <w:sz w:val="24"/>
          <w:szCs w:val="24"/>
        </w:rPr>
        <w:t>Ensure IDPC operates in accordance with its constitution, and all legal and regulatory requirements.</w:t>
      </w:r>
    </w:p>
    <w:p w14:paraId="5AA8BF64" w14:textId="77777777" w:rsidR="00545629" w:rsidRDefault="00545629">
      <w:pPr>
        <w:spacing w:line="288" w:lineRule="exact"/>
        <w:rPr>
          <w:sz w:val="24"/>
          <w:szCs w:val="24"/>
        </w:rPr>
      </w:pPr>
    </w:p>
    <w:p w14:paraId="16C342D6" w14:textId="77777777" w:rsidR="00545629" w:rsidRDefault="004B463A">
      <w:pPr>
        <w:tabs>
          <w:tab w:val="left" w:pos="700"/>
        </w:tabs>
        <w:spacing w:line="236" w:lineRule="auto"/>
        <w:ind w:left="720" w:hanging="719"/>
        <w:jc w:val="both"/>
        <w:rPr>
          <w:sz w:val="20"/>
          <w:szCs w:val="20"/>
        </w:rPr>
      </w:pPr>
      <w:r>
        <w:rPr>
          <w:rFonts w:ascii="Arial" w:eastAsia="Arial" w:hAnsi="Arial" w:cs="Arial"/>
          <w:sz w:val="24"/>
          <w:szCs w:val="24"/>
        </w:rPr>
        <w:t>2.7</w:t>
      </w:r>
      <w:r>
        <w:rPr>
          <w:sz w:val="20"/>
          <w:szCs w:val="20"/>
        </w:rPr>
        <w:tab/>
      </w:r>
      <w:r>
        <w:rPr>
          <w:rFonts w:ascii="Arial" w:eastAsia="Arial" w:hAnsi="Arial" w:cs="Arial"/>
          <w:sz w:val="24"/>
          <w:szCs w:val="24"/>
        </w:rPr>
        <w:t xml:space="preserve">Formulate and review policies and procedures for IDPC’s work, including a risk management framework and appropriate </w:t>
      </w:r>
      <w:r>
        <w:rPr>
          <w:rFonts w:ascii="Arial" w:eastAsia="Arial" w:hAnsi="Arial" w:cs="Arial"/>
          <w:sz w:val="24"/>
          <w:szCs w:val="24"/>
        </w:rPr>
        <w:t>systems of financial controls, and ensure that the IDPC Secretariat operates in accordance with these.</w:t>
      </w:r>
    </w:p>
    <w:p w14:paraId="5BE7C79C" w14:textId="77777777" w:rsidR="00545629" w:rsidRDefault="00545629">
      <w:pPr>
        <w:spacing w:line="290" w:lineRule="exact"/>
        <w:rPr>
          <w:sz w:val="24"/>
          <w:szCs w:val="24"/>
        </w:rPr>
      </w:pPr>
    </w:p>
    <w:p w14:paraId="65E18A87" w14:textId="77777777" w:rsidR="00545629" w:rsidRDefault="004B463A">
      <w:pPr>
        <w:tabs>
          <w:tab w:val="left" w:pos="700"/>
        </w:tabs>
        <w:spacing w:line="235" w:lineRule="auto"/>
        <w:ind w:left="720" w:hanging="719"/>
        <w:jc w:val="both"/>
        <w:rPr>
          <w:sz w:val="20"/>
          <w:szCs w:val="20"/>
        </w:rPr>
      </w:pPr>
      <w:r>
        <w:rPr>
          <w:rFonts w:ascii="Arial" w:eastAsia="Arial" w:hAnsi="Arial" w:cs="Arial"/>
          <w:sz w:val="24"/>
          <w:szCs w:val="24"/>
        </w:rPr>
        <w:t>2.8</w:t>
      </w:r>
      <w:r>
        <w:rPr>
          <w:sz w:val="20"/>
          <w:szCs w:val="20"/>
        </w:rPr>
        <w:tab/>
      </w:r>
      <w:r>
        <w:rPr>
          <w:rFonts w:ascii="Arial" w:eastAsia="Arial" w:hAnsi="Arial" w:cs="Arial"/>
          <w:sz w:val="24"/>
          <w:szCs w:val="24"/>
        </w:rPr>
        <w:t>Ensure the long-term financial viability of IDPC by directly supporting fundraising efforts.</w:t>
      </w:r>
    </w:p>
    <w:p w14:paraId="188C5B99" w14:textId="77777777" w:rsidR="00545629" w:rsidRDefault="00545629">
      <w:pPr>
        <w:spacing w:line="277" w:lineRule="exact"/>
        <w:rPr>
          <w:sz w:val="24"/>
          <w:szCs w:val="24"/>
        </w:rPr>
      </w:pPr>
    </w:p>
    <w:p w14:paraId="5BA2CE67" w14:textId="77777777" w:rsidR="00545629" w:rsidRDefault="004B463A">
      <w:pPr>
        <w:tabs>
          <w:tab w:val="left" w:pos="700"/>
        </w:tabs>
        <w:rPr>
          <w:sz w:val="20"/>
          <w:szCs w:val="20"/>
        </w:rPr>
      </w:pPr>
      <w:r>
        <w:rPr>
          <w:rFonts w:ascii="Arial" w:eastAsia="Arial" w:hAnsi="Arial" w:cs="Arial"/>
          <w:sz w:val="24"/>
          <w:szCs w:val="24"/>
        </w:rPr>
        <w:t>2.9</w:t>
      </w:r>
      <w:r>
        <w:rPr>
          <w:sz w:val="20"/>
          <w:szCs w:val="20"/>
        </w:rPr>
        <w:tab/>
      </w:r>
      <w:r>
        <w:rPr>
          <w:rFonts w:ascii="Arial" w:eastAsia="Arial" w:hAnsi="Arial" w:cs="Arial"/>
          <w:sz w:val="24"/>
          <w:szCs w:val="24"/>
        </w:rPr>
        <w:t>Safeguard the name and reputation of IDPC.</w:t>
      </w:r>
    </w:p>
    <w:p w14:paraId="0FD52CBF" w14:textId="77777777" w:rsidR="00545629" w:rsidRDefault="00545629">
      <w:pPr>
        <w:sectPr w:rsidR="00545629">
          <w:pgSz w:w="11900" w:h="16841"/>
          <w:pgMar w:top="1440" w:right="1079" w:bottom="931" w:left="1080" w:header="0" w:footer="0" w:gutter="0"/>
          <w:cols w:space="720" w:equalWidth="0">
            <w:col w:w="9740"/>
          </w:cols>
        </w:sectPr>
      </w:pPr>
    </w:p>
    <w:p w14:paraId="00226160" w14:textId="77777777" w:rsidR="00545629" w:rsidRDefault="00545629">
      <w:pPr>
        <w:spacing w:line="287" w:lineRule="exact"/>
        <w:rPr>
          <w:sz w:val="20"/>
          <w:szCs w:val="20"/>
        </w:rPr>
      </w:pPr>
      <w:bookmarkStart w:id="1" w:name="page2"/>
      <w:bookmarkEnd w:id="1"/>
    </w:p>
    <w:p w14:paraId="41FE4604" w14:textId="77777777" w:rsidR="00545629" w:rsidRDefault="004B463A">
      <w:pPr>
        <w:tabs>
          <w:tab w:val="left" w:pos="700"/>
        </w:tabs>
        <w:spacing w:line="235" w:lineRule="auto"/>
        <w:ind w:left="720" w:hanging="719"/>
        <w:jc w:val="both"/>
        <w:rPr>
          <w:sz w:val="20"/>
          <w:szCs w:val="20"/>
        </w:rPr>
      </w:pPr>
      <w:r>
        <w:rPr>
          <w:rFonts w:ascii="Arial" w:eastAsia="Arial" w:hAnsi="Arial" w:cs="Arial"/>
          <w:sz w:val="24"/>
          <w:szCs w:val="24"/>
        </w:rPr>
        <w:t>2.10</w:t>
      </w:r>
      <w:r>
        <w:rPr>
          <w:rFonts w:ascii="Arial" w:eastAsia="Arial" w:hAnsi="Arial" w:cs="Arial"/>
          <w:sz w:val="24"/>
          <w:szCs w:val="24"/>
        </w:rPr>
        <w:tab/>
        <w:t>Review the performance of the Board of Directors and take steps to improve its performance where necessary.</w:t>
      </w:r>
    </w:p>
    <w:p w14:paraId="52D0CC63" w14:textId="77777777" w:rsidR="00545629" w:rsidRDefault="00545629">
      <w:pPr>
        <w:spacing w:line="288" w:lineRule="exact"/>
        <w:rPr>
          <w:sz w:val="20"/>
          <w:szCs w:val="20"/>
        </w:rPr>
      </w:pPr>
    </w:p>
    <w:p w14:paraId="2F3DDE63" w14:textId="77777777" w:rsidR="00545629" w:rsidRDefault="004B463A">
      <w:pPr>
        <w:tabs>
          <w:tab w:val="left" w:pos="700"/>
        </w:tabs>
        <w:spacing w:line="236" w:lineRule="auto"/>
        <w:ind w:left="720" w:hanging="719"/>
        <w:jc w:val="both"/>
        <w:rPr>
          <w:sz w:val="20"/>
          <w:szCs w:val="20"/>
        </w:rPr>
      </w:pPr>
      <w:r>
        <w:rPr>
          <w:rFonts w:ascii="Arial" w:eastAsia="Arial" w:hAnsi="Arial" w:cs="Arial"/>
          <w:sz w:val="24"/>
          <w:szCs w:val="24"/>
        </w:rPr>
        <w:t>2.11</w:t>
      </w:r>
      <w:r>
        <w:rPr>
          <w:rFonts w:ascii="Arial" w:eastAsia="Arial" w:hAnsi="Arial" w:cs="Arial"/>
          <w:sz w:val="24"/>
          <w:szCs w:val="24"/>
        </w:rPr>
        <w:tab/>
        <w:t>Regularly review what skills and experiences are needed amongst Directors to best support the achievement of IDPC’s</w:t>
      </w:r>
      <w:r>
        <w:rPr>
          <w:rFonts w:ascii="Arial" w:eastAsia="Arial" w:hAnsi="Arial" w:cs="Arial"/>
          <w:sz w:val="24"/>
          <w:szCs w:val="24"/>
        </w:rPr>
        <w:t xml:space="preserve"> Strategic Plans and have regard to this when recruiting Directors (see paragraph 3.2 below).</w:t>
      </w:r>
    </w:p>
    <w:p w14:paraId="73894F6F" w14:textId="77777777" w:rsidR="00545629" w:rsidRDefault="00545629">
      <w:pPr>
        <w:spacing w:line="277" w:lineRule="exact"/>
        <w:rPr>
          <w:sz w:val="20"/>
          <w:szCs w:val="20"/>
        </w:rPr>
      </w:pPr>
    </w:p>
    <w:p w14:paraId="75B93C7F" w14:textId="77777777" w:rsidR="00545629" w:rsidRDefault="004B463A">
      <w:pPr>
        <w:rPr>
          <w:sz w:val="20"/>
          <w:szCs w:val="20"/>
        </w:rPr>
      </w:pPr>
      <w:r>
        <w:rPr>
          <w:rFonts w:ascii="Arial" w:eastAsia="Arial" w:hAnsi="Arial" w:cs="Arial"/>
          <w:i/>
          <w:iCs/>
          <w:sz w:val="24"/>
          <w:szCs w:val="24"/>
        </w:rPr>
        <w:t>Oversight and scrutiny of activities</w:t>
      </w:r>
    </w:p>
    <w:p w14:paraId="5E52D8FC" w14:textId="77777777" w:rsidR="00545629" w:rsidRDefault="00545629">
      <w:pPr>
        <w:spacing w:line="278" w:lineRule="exact"/>
        <w:rPr>
          <w:sz w:val="20"/>
          <w:szCs w:val="20"/>
        </w:rPr>
      </w:pPr>
    </w:p>
    <w:p w14:paraId="2B5B1756" w14:textId="77777777" w:rsidR="00545629" w:rsidRDefault="004B463A">
      <w:pPr>
        <w:tabs>
          <w:tab w:val="left" w:pos="700"/>
        </w:tabs>
        <w:rPr>
          <w:sz w:val="20"/>
          <w:szCs w:val="20"/>
        </w:rPr>
      </w:pPr>
      <w:r>
        <w:rPr>
          <w:rFonts w:ascii="Arial" w:eastAsia="Arial" w:hAnsi="Arial" w:cs="Arial"/>
          <w:sz w:val="24"/>
          <w:szCs w:val="24"/>
        </w:rPr>
        <w:t>2.12</w:t>
      </w:r>
      <w:r>
        <w:rPr>
          <w:sz w:val="20"/>
          <w:szCs w:val="20"/>
        </w:rPr>
        <w:tab/>
      </w:r>
      <w:r>
        <w:rPr>
          <w:rFonts w:ascii="Arial" w:eastAsia="Arial" w:hAnsi="Arial" w:cs="Arial"/>
          <w:sz w:val="23"/>
          <w:szCs w:val="23"/>
        </w:rPr>
        <w:t>Support IDPC staff in their work for IDPC and in implementing the agreed work plans.</w:t>
      </w:r>
    </w:p>
    <w:p w14:paraId="609B0546" w14:textId="77777777" w:rsidR="00545629" w:rsidRDefault="00545629">
      <w:pPr>
        <w:spacing w:line="287" w:lineRule="exact"/>
        <w:rPr>
          <w:sz w:val="20"/>
          <w:szCs w:val="20"/>
        </w:rPr>
      </w:pPr>
    </w:p>
    <w:p w14:paraId="36262FC3" w14:textId="77777777" w:rsidR="00545629" w:rsidRDefault="004B463A">
      <w:pPr>
        <w:tabs>
          <w:tab w:val="left" w:pos="700"/>
        </w:tabs>
        <w:spacing w:line="237" w:lineRule="auto"/>
        <w:ind w:left="720" w:hanging="719"/>
        <w:jc w:val="both"/>
        <w:rPr>
          <w:sz w:val="20"/>
          <w:szCs w:val="20"/>
        </w:rPr>
      </w:pPr>
      <w:r>
        <w:rPr>
          <w:rFonts w:ascii="Arial" w:eastAsia="Arial" w:hAnsi="Arial" w:cs="Arial"/>
          <w:sz w:val="24"/>
          <w:szCs w:val="24"/>
        </w:rPr>
        <w:t>2.13</w:t>
      </w:r>
      <w:r>
        <w:rPr>
          <w:rFonts w:ascii="Arial" w:eastAsia="Arial" w:hAnsi="Arial" w:cs="Arial"/>
          <w:sz w:val="24"/>
          <w:szCs w:val="24"/>
        </w:rPr>
        <w:tab/>
        <w:t>Appoint an Executive Direct</w:t>
      </w:r>
      <w:r>
        <w:rPr>
          <w:rFonts w:ascii="Arial" w:eastAsia="Arial" w:hAnsi="Arial" w:cs="Arial"/>
          <w:sz w:val="24"/>
          <w:szCs w:val="24"/>
        </w:rPr>
        <w:t>or and support the post holder in their work for IDPC to deliver on the organisational strategy and to effectively implement agreed plans; this includes undertaking annual performance reviews of the Executive Director, ensuring sufficient career developmen</w:t>
      </w:r>
      <w:r>
        <w:rPr>
          <w:rFonts w:ascii="Arial" w:eastAsia="Arial" w:hAnsi="Arial" w:cs="Arial"/>
          <w:sz w:val="24"/>
          <w:szCs w:val="24"/>
        </w:rPr>
        <w:t>t opportunities, and setting appropriate annual targets.</w:t>
      </w:r>
    </w:p>
    <w:p w14:paraId="720323CE" w14:textId="77777777" w:rsidR="00545629" w:rsidRDefault="00545629">
      <w:pPr>
        <w:spacing w:line="290" w:lineRule="exact"/>
        <w:rPr>
          <w:sz w:val="20"/>
          <w:szCs w:val="20"/>
        </w:rPr>
      </w:pPr>
    </w:p>
    <w:p w14:paraId="7D81791D" w14:textId="77777777" w:rsidR="00545629" w:rsidRDefault="004B463A">
      <w:pPr>
        <w:tabs>
          <w:tab w:val="left" w:pos="700"/>
        </w:tabs>
        <w:spacing w:line="235" w:lineRule="auto"/>
        <w:ind w:left="720" w:hanging="719"/>
        <w:jc w:val="both"/>
        <w:rPr>
          <w:sz w:val="20"/>
          <w:szCs w:val="20"/>
        </w:rPr>
      </w:pPr>
      <w:r>
        <w:rPr>
          <w:rFonts w:ascii="Arial" w:eastAsia="Arial" w:hAnsi="Arial" w:cs="Arial"/>
          <w:sz w:val="24"/>
          <w:szCs w:val="24"/>
        </w:rPr>
        <w:t>2.14</w:t>
      </w:r>
      <w:r>
        <w:rPr>
          <w:rFonts w:ascii="Arial" w:eastAsia="Arial" w:hAnsi="Arial" w:cs="Arial"/>
          <w:sz w:val="24"/>
          <w:szCs w:val="24"/>
        </w:rPr>
        <w:tab/>
        <w:t>Regularly review the IDPC Secretariat’s activities and performance, including in relation to finances.</w:t>
      </w:r>
    </w:p>
    <w:p w14:paraId="6B10414C" w14:textId="77777777" w:rsidR="00545629" w:rsidRDefault="00545629">
      <w:pPr>
        <w:spacing w:line="275" w:lineRule="exact"/>
        <w:rPr>
          <w:sz w:val="20"/>
          <w:szCs w:val="20"/>
        </w:rPr>
      </w:pPr>
    </w:p>
    <w:p w14:paraId="69A5F2DF" w14:textId="77777777" w:rsidR="00545629" w:rsidRDefault="004B463A">
      <w:pPr>
        <w:rPr>
          <w:sz w:val="20"/>
          <w:szCs w:val="20"/>
        </w:rPr>
      </w:pPr>
      <w:r>
        <w:rPr>
          <w:rFonts w:ascii="Arial" w:eastAsia="Arial" w:hAnsi="Arial" w:cs="Arial"/>
          <w:i/>
          <w:iCs/>
          <w:sz w:val="24"/>
          <w:szCs w:val="24"/>
        </w:rPr>
        <w:t>Appeals</w:t>
      </w:r>
    </w:p>
    <w:p w14:paraId="1E63555E" w14:textId="77777777" w:rsidR="00545629" w:rsidRDefault="00545629">
      <w:pPr>
        <w:spacing w:line="289" w:lineRule="exact"/>
        <w:rPr>
          <w:sz w:val="20"/>
          <w:szCs w:val="20"/>
        </w:rPr>
      </w:pPr>
    </w:p>
    <w:p w14:paraId="63CEB064" w14:textId="77777777" w:rsidR="00545629" w:rsidRDefault="004B463A">
      <w:pPr>
        <w:tabs>
          <w:tab w:val="left" w:pos="700"/>
        </w:tabs>
        <w:spacing w:line="236" w:lineRule="auto"/>
        <w:ind w:left="720" w:hanging="719"/>
        <w:jc w:val="both"/>
        <w:rPr>
          <w:sz w:val="20"/>
          <w:szCs w:val="20"/>
        </w:rPr>
      </w:pPr>
      <w:r>
        <w:rPr>
          <w:rFonts w:ascii="Arial" w:eastAsia="Arial" w:hAnsi="Arial" w:cs="Arial"/>
          <w:sz w:val="24"/>
          <w:szCs w:val="24"/>
        </w:rPr>
        <w:t>2.15</w:t>
      </w:r>
      <w:r>
        <w:rPr>
          <w:rFonts w:ascii="Arial" w:eastAsia="Arial" w:hAnsi="Arial" w:cs="Arial"/>
          <w:sz w:val="24"/>
          <w:szCs w:val="24"/>
        </w:rPr>
        <w:tab/>
        <w:t xml:space="preserve">Fulfil any requirements of IDPC policies and procedures, in </w:t>
      </w:r>
      <w:r>
        <w:rPr>
          <w:rFonts w:ascii="Arial" w:eastAsia="Arial" w:hAnsi="Arial" w:cs="Arial"/>
          <w:sz w:val="24"/>
          <w:szCs w:val="24"/>
        </w:rPr>
        <w:t>relation to hearing staff appeals and other matters, about whistleblowing, grievances, capability, controlling absence, disciplinary matters, and health and safety etc.</w:t>
      </w:r>
    </w:p>
    <w:p w14:paraId="0B51E3D8" w14:textId="77777777" w:rsidR="00545629" w:rsidRDefault="00545629">
      <w:pPr>
        <w:spacing w:line="290" w:lineRule="exact"/>
        <w:rPr>
          <w:sz w:val="20"/>
          <w:szCs w:val="20"/>
        </w:rPr>
      </w:pPr>
    </w:p>
    <w:p w14:paraId="5F9E7E14" w14:textId="77777777" w:rsidR="00545629" w:rsidRDefault="004B463A">
      <w:pPr>
        <w:tabs>
          <w:tab w:val="left" w:pos="700"/>
        </w:tabs>
        <w:spacing w:line="235" w:lineRule="auto"/>
        <w:ind w:left="720" w:hanging="719"/>
        <w:jc w:val="both"/>
        <w:rPr>
          <w:sz w:val="20"/>
          <w:szCs w:val="20"/>
        </w:rPr>
      </w:pPr>
      <w:r>
        <w:rPr>
          <w:rFonts w:ascii="Arial" w:eastAsia="Arial" w:hAnsi="Arial" w:cs="Arial"/>
          <w:sz w:val="24"/>
          <w:szCs w:val="24"/>
        </w:rPr>
        <w:t>2.16</w:t>
      </w:r>
      <w:r>
        <w:rPr>
          <w:rFonts w:ascii="Arial" w:eastAsia="Arial" w:hAnsi="Arial" w:cs="Arial"/>
          <w:sz w:val="24"/>
          <w:szCs w:val="24"/>
        </w:rPr>
        <w:tab/>
        <w:t>Fulfil any requirements of IDPC policies and procedures, in relation to hearing a</w:t>
      </w:r>
      <w:r>
        <w:rPr>
          <w:rFonts w:ascii="Arial" w:eastAsia="Arial" w:hAnsi="Arial" w:cs="Arial"/>
          <w:sz w:val="24"/>
          <w:szCs w:val="24"/>
        </w:rPr>
        <w:t>ppeals about membership of the IDPC network.</w:t>
      </w:r>
    </w:p>
    <w:p w14:paraId="5E57B056" w14:textId="77777777" w:rsidR="00545629" w:rsidRDefault="00545629">
      <w:pPr>
        <w:spacing w:line="200" w:lineRule="exact"/>
        <w:rPr>
          <w:sz w:val="20"/>
          <w:szCs w:val="20"/>
        </w:rPr>
      </w:pPr>
    </w:p>
    <w:p w14:paraId="6514C2BC" w14:textId="77777777" w:rsidR="00545629" w:rsidRDefault="00545629">
      <w:pPr>
        <w:spacing w:line="353" w:lineRule="exact"/>
        <w:rPr>
          <w:sz w:val="20"/>
          <w:szCs w:val="20"/>
        </w:rPr>
      </w:pPr>
    </w:p>
    <w:p w14:paraId="687F8AEC" w14:textId="77777777" w:rsidR="00545629" w:rsidRDefault="004B463A">
      <w:pPr>
        <w:tabs>
          <w:tab w:val="left" w:pos="700"/>
        </w:tabs>
        <w:rPr>
          <w:sz w:val="20"/>
          <w:szCs w:val="20"/>
        </w:rPr>
      </w:pPr>
      <w:r>
        <w:rPr>
          <w:rFonts w:ascii="Arial" w:eastAsia="Arial" w:hAnsi="Arial" w:cs="Arial"/>
          <w:b/>
          <w:bCs/>
          <w:sz w:val="24"/>
          <w:szCs w:val="24"/>
        </w:rPr>
        <w:t>3</w:t>
      </w:r>
      <w:r>
        <w:rPr>
          <w:sz w:val="20"/>
          <w:szCs w:val="20"/>
        </w:rPr>
        <w:tab/>
      </w:r>
      <w:r>
        <w:rPr>
          <w:rFonts w:ascii="Arial" w:eastAsia="Arial" w:hAnsi="Arial" w:cs="Arial"/>
          <w:b/>
          <w:bCs/>
          <w:sz w:val="24"/>
          <w:szCs w:val="24"/>
        </w:rPr>
        <w:t>Membership</w:t>
      </w:r>
    </w:p>
    <w:p w14:paraId="00017DC5" w14:textId="77777777" w:rsidR="00545629" w:rsidRDefault="00545629">
      <w:pPr>
        <w:spacing w:line="287" w:lineRule="exact"/>
        <w:rPr>
          <w:sz w:val="20"/>
          <w:szCs w:val="20"/>
        </w:rPr>
      </w:pPr>
    </w:p>
    <w:p w14:paraId="54428F9C" w14:textId="77777777" w:rsidR="00545629" w:rsidRDefault="004B463A">
      <w:pPr>
        <w:tabs>
          <w:tab w:val="left" w:pos="700"/>
        </w:tabs>
        <w:spacing w:line="235" w:lineRule="auto"/>
        <w:ind w:left="720" w:hanging="719"/>
        <w:jc w:val="both"/>
        <w:rPr>
          <w:sz w:val="20"/>
          <w:szCs w:val="20"/>
        </w:rPr>
      </w:pPr>
      <w:r>
        <w:rPr>
          <w:rFonts w:ascii="Arial" w:eastAsia="Arial" w:hAnsi="Arial" w:cs="Arial"/>
          <w:sz w:val="24"/>
          <w:szCs w:val="24"/>
        </w:rPr>
        <w:t>3.1</w:t>
      </w:r>
      <w:r>
        <w:rPr>
          <w:sz w:val="20"/>
          <w:szCs w:val="20"/>
        </w:rPr>
        <w:tab/>
      </w:r>
      <w:r>
        <w:rPr>
          <w:rFonts w:ascii="Arial" w:eastAsia="Arial" w:hAnsi="Arial" w:cs="Arial"/>
          <w:sz w:val="24"/>
          <w:szCs w:val="24"/>
        </w:rPr>
        <w:t>See IDPC Articles of Association in relation to provisions relating to membership of the Board.</w:t>
      </w:r>
    </w:p>
    <w:p w14:paraId="188C317C" w14:textId="77777777" w:rsidR="00545629" w:rsidRDefault="00545629">
      <w:pPr>
        <w:spacing w:line="288" w:lineRule="exact"/>
        <w:rPr>
          <w:sz w:val="20"/>
          <w:szCs w:val="20"/>
        </w:rPr>
      </w:pPr>
    </w:p>
    <w:p w14:paraId="55533345" w14:textId="77777777" w:rsidR="00545629" w:rsidRDefault="004B463A">
      <w:pPr>
        <w:tabs>
          <w:tab w:val="left" w:pos="700"/>
        </w:tabs>
        <w:spacing w:line="238" w:lineRule="auto"/>
        <w:ind w:left="720" w:hanging="719"/>
        <w:jc w:val="both"/>
        <w:rPr>
          <w:sz w:val="20"/>
          <w:szCs w:val="20"/>
        </w:rPr>
      </w:pPr>
      <w:r>
        <w:rPr>
          <w:rFonts w:ascii="Arial" w:eastAsia="Arial" w:hAnsi="Arial" w:cs="Arial"/>
          <w:sz w:val="24"/>
          <w:szCs w:val="24"/>
        </w:rPr>
        <w:t>3.2</w:t>
      </w:r>
      <w:r>
        <w:rPr>
          <w:sz w:val="20"/>
          <w:szCs w:val="20"/>
        </w:rPr>
        <w:tab/>
      </w:r>
      <w:r>
        <w:rPr>
          <w:rFonts w:ascii="Arial" w:eastAsia="Arial" w:hAnsi="Arial" w:cs="Arial"/>
          <w:sz w:val="24"/>
          <w:szCs w:val="24"/>
        </w:rPr>
        <w:t xml:space="preserve">To support the Articles of Association and paragraph 2.11 above, the Board shall </w:t>
      </w:r>
      <w:r>
        <w:rPr>
          <w:rFonts w:ascii="Arial" w:eastAsia="Arial" w:hAnsi="Arial" w:cs="Arial"/>
          <w:sz w:val="24"/>
          <w:szCs w:val="24"/>
        </w:rPr>
        <w:t>before recruiting new trustees conduct an audit of skills and experience of Directors and identify gaps in relation to its current membership. Recruitment shall be performed against a clear Director person specification reflecting any skills and experience</w:t>
      </w:r>
      <w:r>
        <w:rPr>
          <w:rFonts w:ascii="Arial" w:eastAsia="Arial" w:hAnsi="Arial" w:cs="Arial"/>
          <w:sz w:val="24"/>
          <w:szCs w:val="24"/>
        </w:rPr>
        <w:t xml:space="preserve"> required.</w:t>
      </w:r>
    </w:p>
    <w:p w14:paraId="73E2B402" w14:textId="77777777" w:rsidR="00545629" w:rsidRDefault="00545629">
      <w:pPr>
        <w:spacing w:line="288" w:lineRule="exact"/>
        <w:rPr>
          <w:sz w:val="20"/>
          <w:szCs w:val="20"/>
        </w:rPr>
      </w:pPr>
    </w:p>
    <w:p w14:paraId="5B2097AD" w14:textId="77777777" w:rsidR="00545629" w:rsidRDefault="004B463A">
      <w:pPr>
        <w:tabs>
          <w:tab w:val="left" w:pos="700"/>
        </w:tabs>
        <w:spacing w:line="236" w:lineRule="auto"/>
        <w:ind w:left="720" w:hanging="719"/>
        <w:jc w:val="both"/>
        <w:rPr>
          <w:sz w:val="20"/>
          <w:szCs w:val="20"/>
        </w:rPr>
      </w:pPr>
      <w:r>
        <w:rPr>
          <w:rFonts w:ascii="Arial" w:eastAsia="Arial" w:hAnsi="Arial" w:cs="Arial"/>
          <w:sz w:val="24"/>
          <w:szCs w:val="24"/>
        </w:rPr>
        <w:t>3.3</w:t>
      </w:r>
      <w:r>
        <w:rPr>
          <w:sz w:val="20"/>
          <w:szCs w:val="20"/>
        </w:rPr>
        <w:tab/>
      </w:r>
      <w:r>
        <w:rPr>
          <w:rFonts w:ascii="Arial" w:eastAsia="Arial" w:hAnsi="Arial" w:cs="Arial"/>
          <w:sz w:val="24"/>
          <w:szCs w:val="24"/>
        </w:rPr>
        <w:t>Reflecting the Articles of Association, the Board shall have regard to matters such as diversity, gender balance and the desirability of ensuring that Directors are drawn from different regions of the world when recruiting new members of th</w:t>
      </w:r>
      <w:r>
        <w:rPr>
          <w:rFonts w:ascii="Arial" w:eastAsia="Arial" w:hAnsi="Arial" w:cs="Arial"/>
          <w:sz w:val="24"/>
          <w:szCs w:val="24"/>
        </w:rPr>
        <w:t>e Board.</w:t>
      </w:r>
    </w:p>
    <w:p w14:paraId="0C67B7DE" w14:textId="77777777" w:rsidR="00545629" w:rsidRDefault="00545629">
      <w:pPr>
        <w:spacing w:line="200" w:lineRule="exact"/>
        <w:rPr>
          <w:sz w:val="20"/>
          <w:szCs w:val="20"/>
        </w:rPr>
      </w:pPr>
    </w:p>
    <w:p w14:paraId="02058855" w14:textId="77777777" w:rsidR="00545629" w:rsidRDefault="00545629">
      <w:pPr>
        <w:spacing w:line="355" w:lineRule="exact"/>
        <w:rPr>
          <w:sz w:val="20"/>
          <w:szCs w:val="20"/>
        </w:rPr>
      </w:pPr>
    </w:p>
    <w:p w14:paraId="294BDFB3" w14:textId="77777777" w:rsidR="00545629" w:rsidRDefault="004B463A">
      <w:pPr>
        <w:tabs>
          <w:tab w:val="left" w:pos="700"/>
        </w:tabs>
        <w:rPr>
          <w:sz w:val="20"/>
          <w:szCs w:val="20"/>
        </w:rPr>
      </w:pPr>
      <w:r>
        <w:rPr>
          <w:rFonts w:ascii="Arial" w:eastAsia="Arial" w:hAnsi="Arial" w:cs="Arial"/>
          <w:b/>
          <w:bCs/>
          <w:sz w:val="24"/>
          <w:szCs w:val="24"/>
        </w:rPr>
        <w:t>4</w:t>
      </w:r>
      <w:r>
        <w:rPr>
          <w:sz w:val="20"/>
          <w:szCs w:val="20"/>
        </w:rPr>
        <w:tab/>
      </w:r>
      <w:r>
        <w:rPr>
          <w:rFonts w:ascii="Arial" w:eastAsia="Arial" w:hAnsi="Arial" w:cs="Arial"/>
          <w:b/>
          <w:bCs/>
          <w:sz w:val="24"/>
          <w:szCs w:val="24"/>
        </w:rPr>
        <w:t>Meetings and quorum</w:t>
      </w:r>
    </w:p>
    <w:p w14:paraId="5ED1A00F" w14:textId="77777777" w:rsidR="00545629" w:rsidRDefault="00545629">
      <w:pPr>
        <w:spacing w:line="287" w:lineRule="exact"/>
        <w:rPr>
          <w:sz w:val="20"/>
          <w:szCs w:val="20"/>
        </w:rPr>
      </w:pPr>
    </w:p>
    <w:p w14:paraId="2AF63B9D" w14:textId="77777777" w:rsidR="00545629" w:rsidRDefault="004B463A">
      <w:pPr>
        <w:tabs>
          <w:tab w:val="left" w:pos="700"/>
        </w:tabs>
        <w:spacing w:line="235" w:lineRule="auto"/>
        <w:ind w:left="720" w:hanging="719"/>
        <w:jc w:val="both"/>
        <w:rPr>
          <w:sz w:val="20"/>
          <w:szCs w:val="20"/>
        </w:rPr>
      </w:pPr>
      <w:r>
        <w:rPr>
          <w:rFonts w:ascii="Arial" w:eastAsia="Arial" w:hAnsi="Arial" w:cs="Arial"/>
          <w:sz w:val="24"/>
          <w:szCs w:val="24"/>
        </w:rPr>
        <w:t>4.1</w:t>
      </w:r>
      <w:r>
        <w:rPr>
          <w:sz w:val="20"/>
          <w:szCs w:val="20"/>
        </w:rPr>
        <w:tab/>
      </w:r>
      <w:r>
        <w:rPr>
          <w:rFonts w:ascii="Arial" w:eastAsia="Arial" w:hAnsi="Arial" w:cs="Arial"/>
          <w:sz w:val="24"/>
          <w:szCs w:val="24"/>
        </w:rPr>
        <w:t>See IDPC Articles of Association in relation to provisions relating to the quorum for Board meetings.</w:t>
      </w:r>
    </w:p>
    <w:p w14:paraId="4359B98C" w14:textId="77777777" w:rsidR="00545629" w:rsidRDefault="00545629">
      <w:pPr>
        <w:sectPr w:rsidR="00545629">
          <w:pgSz w:w="11900" w:h="16841"/>
          <w:pgMar w:top="1440" w:right="1079" w:bottom="1036" w:left="1080" w:header="0" w:footer="0" w:gutter="0"/>
          <w:cols w:space="720" w:equalWidth="0">
            <w:col w:w="9740"/>
          </w:cols>
        </w:sectPr>
      </w:pPr>
    </w:p>
    <w:p w14:paraId="642FFC96" w14:textId="77777777" w:rsidR="00545629" w:rsidRDefault="00545629">
      <w:pPr>
        <w:spacing w:line="287" w:lineRule="exact"/>
        <w:rPr>
          <w:sz w:val="20"/>
          <w:szCs w:val="20"/>
        </w:rPr>
      </w:pPr>
      <w:bookmarkStart w:id="2" w:name="page3"/>
      <w:bookmarkEnd w:id="2"/>
    </w:p>
    <w:p w14:paraId="1FF9E055" w14:textId="77777777" w:rsidR="00545629" w:rsidRDefault="004B463A">
      <w:pPr>
        <w:tabs>
          <w:tab w:val="left" w:pos="700"/>
        </w:tabs>
        <w:spacing w:line="235" w:lineRule="auto"/>
        <w:ind w:left="720" w:hanging="719"/>
        <w:jc w:val="both"/>
        <w:rPr>
          <w:sz w:val="20"/>
          <w:szCs w:val="20"/>
        </w:rPr>
      </w:pPr>
      <w:r>
        <w:rPr>
          <w:rFonts w:ascii="Arial" w:eastAsia="Arial" w:hAnsi="Arial" w:cs="Arial"/>
          <w:sz w:val="24"/>
          <w:szCs w:val="24"/>
        </w:rPr>
        <w:t>4.2</w:t>
      </w:r>
      <w:r>
        <w:rPr>
          <w:sz w:val="20"/>
          <w:szCs w:val="20"/>
        </w:rPr>
        <w:tab/>
      </w:r>
      <w:r>
        <w:rPr>
          <w:rFonts w:ascii="Arial" w:eastAsia="Arial" w:hAnsi="Arial" w:cs="Arial"/>
          <w:sz w:val="24"/>
          <w:szCs w:val="24"/>
        </w:rPr>
        <w:t xml:space="preserve">Regular meetings of the Board of Directors shall be held four times each year, at </w:t>
      </w:r>
      <w:r>
        <w:rPr>
          <w:rFonts w:ascii="Arial" w:eastAsia="Arial" w:hAnsi="Arial" w:cs="Arial"/>
          <w:sz w:val="24"/>
          <w:szCs w:val="24"/>
        </w:rPr>
        <w:t>least one of which shall be face-to face, where funding allows.</w:t>
      </w:r>
    </w:p>
    <w:p w14:paraId="501FEE8D" w14:textId="77777777" w:rsidR="00545629" w:rsidRDefault="00545629">
      <w:pPr>
        <w:spacing w:line="200" w:lineRule="exact"/>
        <w:rPr>
          <w:sz w:val="20"/>
          <w:szCs w:val="20"/>
        </w:rPr>
      </w:pPr>
    </w:p>
    <w:p w14:paraId="740F709C" w14:textId="77777777" w:rsidR="00545629" w:rsidRDefault="00545629">
      <w:pPr>
        <w:spacing w:line="353" w:lineRule="exact"/>
        <w:rPr>
          <w:sz w:val="20"/>
          <w:szCs w:val="20"/>
        </w:rPr>
      </w:pPr>
    </w:p>
    <w:p w14:paraId="0F600543" w14:textId="77777777" w:rsidR="00545629" w:rsidRDefault="004B463A">
      <w:pPr>
        <w:tabs>
          <w:tab w:val="left" w:pos="700"/>
        </w:tabs>
        <w:rPr>
          <w:sz w:val="20"/>
          <w:szCs w:val="20"/>
        </w:rPr>
      </w:pPr>
      <w:r>
        <w:rPr>
          <w:rFonts w:ascii="Arial" w:eastAsia="Arial" w:hAnsi="Arial" w:cs="Arial"/>
          <w:b/>
          <w:bCs/>
          <w:sz w:val="24"/>
          <w:szCs w:val="24"/>
        </w:rPr>
        <w:t>5</w:t>
      </w:r>
      <w:r>
        <w:rPr>
          <w:sz w:val="20"/>
          <w:szCs w:val="20"/>
        </w:rPr>
        <w:tab/>
      </w:r>
      <w:r>
        <w:rPr>
          <w:rFonts w:ascii="Arial" w:eastAsia="Arial" w:hAnsi="Arial" w:cs="Arial"/>
          <w:b/>
          <w:bCs/>
          <w:sz w:val="24"/>
          <w:szCs w:val="24"/>
        </w:rPr>
        <w:t>Individual obligations</w:t>
      </w:r>
    </w:p>
    <w:p w14:paraId="71B6A717" w14:textId="77777777" w:rsidR="00545629" w:rsidRDefault="00545629">
      <w:pPr>
        <w:spacing w:line="287" w:lineRule="exact"/>
        <w:rPr>
          <w:sz w:val="20"/>
          <w:szCs w:val="20"/>
        </w:rPr>
      </w:pPr>
    </w:p>
    <w:p w14:paraId="07350FB3" w14:textId="77777777" w:rsidR="00545629" w:rsidRDefault="004B463A">
      <w:pPr>
        <w:tabs>
          <w:tab w:val="left" w:pos="700"/>
        </w:tabs>
        <w:spacing w:line="236" w:lineRule="auto"/>
        <w:ind w:left="720" w:hanging="719"/>
        <w:jc w:val="both"/>
        <w:rPr>
          <w:sz w:val="20"/>
          <w:szCs w:val="20"/>
        </w:rPr>
      </w:pPr>
      <w:r>
        <w:rPr>
          <w:rFonts w:ascii="Arial" w:eastAsia="Arial" w:hAnsi="Arial" w:cs="Arial"/>
          <w:sz w:val="24"/>
          <w:szCs w:val="24"/>
        </w:rPr>
        <w:t>5.1</w:t>
      </w:r>
      <w:r>
        <w:rPr>
          <w:sz w:val="20"/>
          <w:szCs w:val="20"/>
        </w:rPr>
        <w:tab/>
      </w:r>
      <w:r>
        <w:rPr>
          <w:rFonts w:ascii="Arial" w:eastAsia="Arial" w:hAnsi="Arial" w:cs="Arial"/>
          <w:sz w:val="24"/>
          <w:szCs w:val="24"/>
        </w:rPr>
        <w:t>Actively participate in meetings of the Board, committee meetings and other working groups, contributing specific skills and experiences in line with the Direct</w:t>
      </w:r>
      <w:r>
        <w:rPr>
          <w:rFonts w:ascii="Arial" w:eastAsia="Arial" w:hAnsi="Arial" w:cs="Arial"/>
          <w:sz w:val="24"/>
          <w:szCs w:val="24"/>
        </w:rPr>
        <w:t>ors Code of Conduct.</w:t>
      </w:r>
    </w:p>
    <w:p w14:paraId="19A800B3" w14:textId="77777777" w:rsidR="00545629" w:rsidRDefault="00545629">
      <w:pPr>
        <w:spacing w:line="290" w:lineRule="exact"/>
        <w:rPr>
          <w:sz w:val="20"/>
          <w:szCs w:val="20"/>
        </w:rPr>
      </w:pPr>
    </w:p>
    <w:p w14:paraId="5D2F8F1E" w14:textId="77777777" w:rsidR="00545629" w:rsidRDefault="004B463A">
      <w:pPr>
        <w:tabs>
          <w:tab w:val="left" w:pos="700"/>
        </w:tabs>
        <w:spacing w:line="237" w:lineRule="auto"/>
        <w:ind w:left="720" w:hanging="719"/>
        <w:jc w:val="both"/>
        <w:rPr>
          <w:sz w:val="20"/>
          <w:szCs w:val="20"/>
        </w:rPr>
      </w:pPr>
      <w:r>
        <w:rPr>
          <w:rFonts w:ascii="Arial" w:eastAsia="Arial" w:hAnsi="Arial" w:cs="Arial"/>
          <w:sz w:val="24"/>
          <w:szCs w:val="24"/>
        </w:rPr>
        <w:t>5.2</w:t>
      </w:r>
      <w:r>
        <w:rPr>
          <w:sz w:val="20"/>
          <w:szCs w:val="20"/>
        </w:rPr>
        <w:tab/>
      </w:r>
      <w:r>
        <w:rPr>
          <w:rFonts w:ascii="Arial" w:eastAsia="Arial" w:hAnsi="Arial" w:cs="Arial"/>
          <w:sz w:val="24"/>
          <w:szCs w:val="24"/>
        </w:rPr>
        <w:t>Promote the good name and reputation of IDPC and its members, acting as an ambassador for it whenever possible, and upholding its core policy principles at all times.</w:t>
      </w:r>
    </w:p>
    <w:p w14:paraId="049265AB" w14:textId="77777777" w:rsidR="00545629" w:rsidRDefault="00545629">
      <w:pPr>
        <w:spacing w:line="287" w:lineRule="exact"/>
        <w:rPr>
          <w:sz w:val="20"/>
          <w:szCs w:val="20"/>
        </w:rPr>
      </w:pPr>
    </w:p>
    <w:p w14:paraId="7F52F695" w14:textId="77777777" w:rsidR="00545629" w:rsidRDefault="004B463A">
      <w:pPr>
        <w:tabs>
          <w:tab w:val="left" w:pos="700"/>
        </w:tabs>
        <w:spacing w:line="235" w:lineRule="auto"/>
        <w:ind w:left="720" w:hanging="719"/>
        <w:jc w:val="both"/>
        <w:rPr>
          <w:sz w:val="20"/>
          <w:szCs w:val="20"/>
        </w:rPr>
      </w:pPr>
      <w:r>
        <w:rPr>
          <w:rFonts w:ascii="Arial" w:eastAsia="Arial" w:hAnsi="Arial" w:cs="Arial"/>
          <w:sz w:val="24"/>
          <w:szCs w:val="24"/>
        </w:rPr>
        <w:t>5.3</w:t>
      </w:r>
      <w:r>
        <w:rPr>
          <w:sz w:val="20"/>
          <w:szCs w:val="20"/>
        </w:rPr>
        <w:tab/>
      </w:r>
      <w:r>
        <w:rPr>
          <w:rFonts w:ascii="Arial" w:eastAsia="Arial" w:hAnsi="Arial" w:cs="Arial"/>
          <w:sz w:val="24"/>
          <w:szCs w:val="24"/>
        </w:rPr>
        <w:t>Comply with all laws and regulations applicable to company</w:t>
      </w:r>
      <w:r>
        <w:rPr>
          <w:rFonts w:ascii="Arial" w:eastAsia="Arial" w:hAnsi="Arial" w:cs="Arial"/>
          <w:sz w:val="24"/>
          <w:szCs w:val="24"/>
        </w:rPr>
        <w:t xml:space="preserve"> directors in the UK, and with all relevant policies of IDPC.</w:t>
      </w:r>
    </w:p>
    <w:p w14:paraId="2CCAAB70" w14:textId="77777777" w:rsidR="00545629" w:rsidRDefault="00545629">
      <w:pPr>
        <w:spacing w:line="200" w:lineRule="exact"/>
        <w:rPr>
          <w:sz w:val="20"/>
          <w:szCs w:val="20"/>
        </w:rPr>
      </w:pPr>
    </w:p>
    <w:p w14:paraId="761FC485" w14:textId="77777777" w:rsidR="00545629" w:rsidRDefault="00545629">
      <w:pPr>
        <w:spacing w:line="353" w:lineRule="exact"/>
        <w:rPr>
          <w:sz w:val="20"/>
          <w:szCs w:val="20"/>
        </w:rPr>
      </w:pPr>
    </w:p>
    <w:p w14:paraId="3BC3248B" w14:textId="77777777" w:rsidR="00545629" w:rsidRDefault="004B463A">
      <w:pPr>
        <w:ind w:left="5440"/>
        <w:rPr>
          <w:sz w:val="20"/>
          <w:szCs w:val="20"/>
        </w:rPr>
      </w:pPr>
      <w:r>
        <w:rPr>
          <w:rFonts w:ascii="Arial" w:eastAsia="Arial" w:hAnsi="Arial" w:cs="Arial"/>
          <w:sz w:val="24"/>
          <w:szCs w:val="24"/>
        </w:rPr>
        <w:t>Date approved by Board: 11th July 2018</w:t>
      </w:r>
    </w:p>
    <w:sectPr w:rsidR="00545629">
      <w:pgSz w:w="11900" w:h="16841"/>
      <w:pgMar w:top="1440" w:right="1079" w:bottom="1440" w:left="1080" w:header="0" w:footer="0" w:gutter="0"/>
      <w:cols w:space="720" w:equalWidth="0">
        <w:col w:w="9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F90"/>
    <w:multiLevelType w:val="hybridMultilevel"/>
    <w:tmpl w:val="12D4B0C2"/>
    <w:lvl w:ilvl="0" w:tplc="AA68E584">
      <w:start w:val="1"/>
      <w:numFmt w:val="bullet"/>
      <w:lvlText w:val="•"/>
      <w:lvlJc w:val="left"/>
    </w:lvl>
    <w:lvl w:ilvl="1" w:tplc="7CE6E962">
      <w:numFmt w:val="decimal"/>
      <w:lvlText w:val=""/>
      <w:lvlJc w:val="left"/>
    </w:lvl>
    <w:lvl w:ilvl="2" w:tplc="05340BAA">
      <w:numFmt w:val="decimal"/>
      <w:lvlText w:val=""/>
      <w:lvlJc w:val="left"/>
    </w:lvl>
    <w:lvl w:ilvl="3" w:tplc="C884050C">
      <w:numFmt w:val="decimal"/>
      <w:lvlText w:val=""/>
      <w:lvlJc w:val="left"/>
    </w:lvl>
    <w:lvl w:ilvl="4" w:tplc="FB826E48">
      <w:numFmt w:val="decimal"/>
      <w:lvlText w:val=""/>
      <w:lvlJc w:val="left"/>
    </w:lvl>
    <w:lvl w:ilvl="5" w:tplc="1A20A85E">
      <w:numFmt w:val="decimal"/>
      <w:lvlText w:val=""/>
      <w:lvlJc w:val="left"/>
    </w:lvl>
    <w:lvl w:ilvl="6" w:tplc="AB404E1A">
      <w:numFmt w:val="decimal"/>
      <w:lvlText w:val=""/>
      <w:lvlJc w:val="left"/>
    </w:lvl>
    <w:lvl w:ilvl="7" w:tplc="CFE8772A">
      <w:numFmt w:val="decimal"/>
      <w:lvlText w:val=""/>
      <w:lvlJc w:val="left"/>
    </w:lvl>
    <w:lvl w:ilvl="8" w:tplc="ECD071E6">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29"/>
    <w:rsid w:val="004B463A"/>
    <w:rsid w:val="00545629"/>
    <w:rsid w:val="008B6490"/>
    <w:rsid w:val="00E8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657A6"/>
  <w15:docId w15:val="{84C5B5B5-0B90-4A05-A8ED-F7AF158C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Graham Shaw</cp:lastModifiedBy>
  <cp:revision>3</cp:revision>
  <dcterms:created xsi:type="dcterms:W3CDTF">2020-02-25T14:51:00Z</dcterms:created>
  <dcterms:modified xsi:type="dcterms:W3CDTF">2020-02-25T14:52:00Z</dcterms:modified>
</cp:coreProperties>
</file>